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Celebrate SNAP’s 10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Anniversary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By becoming a member!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Members help decide how to maximize SNAP’s resources, and how to distribute them for optimum benefit to pet owners in Thurston County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who need help paying for spay and neuter.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You may become a member of SNAP for $20 each calendar year.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6285"/>
        <w:tblGridChange w:id="0">
          <w:tblGrid>
            <w:gridCol w:w="2355"/>
            <w:gridCol w:w="62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First Name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Last Name</w:t>
              <w:tab/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Street Address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City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State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Zip Code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 number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Email Address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If mailing a membership application, download the application and mail a check payable to: SNAP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Send to the following address:  P.O. Box 13262, Olympia, WA 98508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WE DO NOT SHARE INFORMATION WITH ANYONE.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SNAP was incorporated in the state of Washington in June, 2006 as a</w:t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i w:val="1"/>
          <w:rtl w:val="0"/>
        </w:rPr>
        <w:t xml:space="preserve">charitable, non-profit 501(c)(3) organization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